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D8" w:rsidRPr="001A42C1" w:rsidRDefault="005069D8" w:rsidP="005069D8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42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ПРОГРАМА  ВСТУПНОГО ВИПРОБУВАННЯ З ІСТОРІЇ УКРАЇНИ</w:t>
      </w:r>
    </w:p>
    <w:p w:rsidR="005069D8" w:rsidRPr="001A42C1" w:rsidRDefault="005069D8" w:rsidP="005069D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A42C1">
        <w:rPr>
          <w:rFonts w:ascii="Times New Roman" w:hAnsi="Times New Roman"/>
          <w:b/>
          <w:sz w:val="28"/>
          <w:szCs w:val="28"/>
          <w:lang w:val="uk-UA"/>
        </w:rPr>
        <w:t xml:space="preserve">для конкурсного відбору осіб, які на основі базової загальної середньої освіти вступають на навчання для здобуття освітньо-кваліфікаційного рівня молодшого спеціаліста до </w:t>
      </w:r>
      <w:r w:rsidRPr="001A42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Коледжу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 ПВНЗ «Херсонський економічно-правовий інститут»</w:t>
      </w:r>
    </w:p>
    <w:p w:rsidR="005069D8" w:rsidRDefault="005069D8" w:rsidP="005069D8">
      <w:pPr>
        <w:shd w:val="clear" w:color="auto" w:fill="FFFFFF"/>
        <w:tabs>
          <w:tab w:val="left" w:pos="9355"/>
        </w:tabs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574FD9" w:rsidRDefault="00574FD9" w:rsidP="005069D8">
      <w:pPr>
        <w:shd w:val="clear" w:color="auto" w:fill="FFFFFF"/>
        <w:tabs>
          <w:tab w:val="left" w:pos="9355"/>
        </w:tabs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EC4093" w:rsidRPr="001A42C1" w:rsidRDefault="00EC4093" w:rsidP="005069D8">
      <w:pPr>
        <w:shd w:val="clear" w:color="auto" w:fill="FFFFFF"/>
        <w:tabs>
          <w:tab w:val="left" w:pos="9355"/>
        </w:tabs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5069D8" w:rsidRDefault="005069D8" w:rsidP="005069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Розділ 1. Стародавня вітчизняна історія. Київська Русь. Роздроблення Русі. Півд</w:t>
      </w:r>
      <w:r w:rsidR="00EC40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енно-західні руські князівства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Заселення території, інтенсивне переміщення великих мас людей, асиміляція племен. Перехід від осередків первісного суспільства, заснованих на кровноспоріднених зв'язках до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ранньодержавних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структур. Господарське освоєння території, перехід від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привласнюючого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відтворюючого господарства, індивідуалізація виробництва та споживання, товарообміну, майнової диференціації. Ускладнення форм суспільної організації та структури. Формування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ранньодержавних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зрілих державних структур: </w:t>
      </w:r>
    </w:p>
    <w:p w:rsidR="005069D8" w:rsidRPr="00574FD9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а) перетворення форм родоплемінного управління в державні (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Скіфія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); 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в) перенесення вже існуючих державних форм спочатку з Греції, а потім з Риму.</w:t>
      </w:r>
    </w:p>
    <w:p w:rsidR="005069D8" w:rsidRPr="00574FD9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Інтенсивні переміщення великих мас населення (скотарів)з півночі та сходу на територію сучасної України й далі на захід. Масове переселення слов'ян між У – УІІ ст. Утворення нових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ранньодержавни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proofErr w:type="spellEnd"/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переддержавних</w:t>
      </w:r>
      <w:proofErr w:type="spellEnd"/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об'єднань («варварські королівства»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готів та гунів, Антське царство), яким були притаманні три основні ознаки держави: окрема від народу влада, система податків, територіальний принцип побудови.</w:t>
      </w:r>
      <w:r w:rsidRPr="00574FD9">
        <w:rPr>
          <w:rFonts w:ascii="Trebuchet MS" w:eastAsia="Times New Roman" w:hAnsi="Trebuchet MS"/>
          <w:sz w:val="28"/>
          <w:szCs w:val="28"/>
          <w:lang w:val="uk-UA" w:eastAsia="ru-RU"/>
        </w:rPr>
        <w:t xml:space="preserve"> 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державної території Київської Русі. Творення державної влади т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а державно-правової ідеології. «Феодалізація»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структури суспільства, тобто зародження класів-станів, властивих феодальному суспільству.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Розвиток економіки: базової галузі – сільського господарства, ремесла, торгівлі, натурального обміну.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Запровадження християнства як офіційної ідеології. Якісні культурні зміни: поява нової архітектури,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книжництва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, шкільництва, літописання, освіченості.</w:t>
      </w:r>
    </w:p>
    <w:p w:rsidR="005069D8" w:rsidRPr="00574FD9" w:rsidRDefault="00EC4093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окремих князівств – «земель»</w:t>
      </w:r>
      <w:r w:rsidR="005069D8"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. Загострення боротьби за владу між різними феодально-дружинними угрупуваннями.</w:t>
      </w:r>
    </w:p>
    <w:p w:rsidR="005069D8" w:rsidRDefault="005069D8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Утвердження Київської держави на міжнародній арені. Ускладнення міжнародного становища внаслідок тиску на Русь з Заходу (Малопольське князівство, Угорщина, Тевтонський орден), зі Сходу (імперія Чингізхана). 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Боротьба з татаро-монгольськими завойовниками, встановлення васальної залежності південно-руських князів від Золотої Орди.</w:t>
      </w:r>
    </w:p>
    <w:p w:rsidR="00EC4093" w:rsidRDefault="00EC4093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</w:p>
    <w:p w:rsidR="00EC4093" w:rsidRPr="00574FD9" w:rsidRDefault="00EC4093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</w:p>
    <w:p w:rsidR="005069D8" w:rsidRPr="00EC4093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8"/>
          <w:szCs w:val="28"/>
          <w:lang w:val="uk-UA" w:eastAsia="ru-RU"/>
        </w:rPr>
      </w:pPr>
      <w:r w:rsidRP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Розділ 2. Україна під владою Литви та Польщі (с</w:t>
      </w:r>
      <w:r w:rsid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ередина ХІY– середина ХVII ст.)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Загарбання та територіальне розчленування південно-руських земель сусідніми державами. Геополітичне суперництво Польщі, Литви, Москви, Туреччини та Криму як дестабілізуючий фактор в регіоні. Інтегрування південно-руських земель до суспільно-політичних систем Польщі і Литви.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Зближення Польщі і Литви, вирівнювання законодавства та адміністративного устрою, утворення польсько-литовської федерації – Речі Посполитої, стабілізація її геополітичного становища, тимчасове припинення експансії її суперників, об’єднання руських земель в єдиній державі.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Ліквідація автономії руських земель. Завершення формування феодальної системи соціально-економічних відносин. Формування “позазаконного” елементу – козацтва, заснування козацької столиці, виникнення виборної козачої адміністрації. Політичний, економічний, культурно-ідеологічний та релігійний тиск на південно-руські землі.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Розвиток міжрелігійного конфлікту. </w:t>
      </w:r>
    </w:p>
    <w:p w:rsidR="005069D8" w:rsidRDefault="005069D8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Піднесення активності та культурно-національної свідомості православного населення Південної Русі – України. Соціальна боротьба проти польсько-шляхетського гніту. Втягування Русі – України в активний європейський торговий обмін в ролі солідного експортера зерна та 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лісопродуктів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імпо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ртера європейської мануфактури.</w:t>
      </w:r>
    </w:p>
    <w:p w:rsidR="00EC4093" w:rsidRDefault="00EC4093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C4093" w:rsidRPr="00574FD9" w:rsidRDefault="00EC4093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</w:p>
    <w:p w:rsidR="005069D8" w:rsidRPr="00EC4093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8"/>
          <w:szCs w:val="28"/>
          <w:lang w:val="uk-UA" w:eastAsia="ru-RU"/>
        </w:rPr>
      </w:pPr>
      <w:r w:rsidRP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Розділ 3. Визвольна війна, зародженн</w:t>
      </w:r>
      <w:r w:rsid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 української козацької держави</w:t>
      </w:r>
    </w:p>
    <w:p w:rsidR="005069D8" w:rsidRDefault="005069D8" w:rsidP="005069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Причини війни, її характер. Розвиток української політичної думки під час війни: ідея державності України. Збройне протистояння Речі Посполитої та повстанської армії. Усунення польської адміністрації з значної частини українських земель. Розбудова козацько-православної держави на звільнених землях. Ліквідація феодальних повинностей та їх основи – феодального землеволодіння. Дипломатична діяльність козацької держави, спрямована на пошук воєнних союзників та зміцнення міжнародного становища. Зближення козацької держави з Москвою, прийняття Війська Запорозького під протекторат московського царя.</w:t>
      </w:r>
    </w:p>
    <w:p w:rsidR="00EC4093" w:rsidRDefault="00EC4093" w:rsidP="005069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C4093" w:rsidRPr="00574FD9" w:rsidRDefault="00EC4093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</w:p>
    <w:p w:rsidR="005069D8" w:rsidRPr="00EC4093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8"/>
          <w:szCs w:val="28"/>
          <w:lang w:val="uk-UA" w:eastAsia="ru-RU"/>
        </w:rPr>
      </w:pPr>
      <w:r w:rsidRP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Розділ 4. Вітчизняна історія в другій половині XVII-XVIII ст., втрата українцями державності і територіальної цілісності.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Внутрішнє розмежування в українському суспільстві зумовлене розбіжностями соціальних інтересів, розходженнями в геополітичній орієнтації на чи іншу державу.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Територіальний перерозподіл та втрата єдності українських земель. Стабілізація становища Лівобережжя, якому проросійська орієнтація забезпечила захист від нападів татар, турків та поляків.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Повторна феодалізація, пов’язана з кризою козацької державності та підпорядкуванням українських земель Польщі та Росії. Втрата Польщею ролі гаранта стабільності у Східній Європі через ослаблення війнами з українськими повстанцями, Росією, Швецією та Туреччиною.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Зростання ролі взаємно конкуруючих в регіоні Росії та Швеції, що претендують на контроль над Річчю Посполитою. Суперництво Росії та Туреччини за вплив у Причорномор’ї та Південній Русі-Україні. Встановлення гегемонії Російської імперії у Східній Європі та перетворення її у державу загальноєвропейського масштабу. Посилення позиції Австро-Угорщини.</w:t>
      </w:r>
    </w:p>
    <w:p w:rsidR="005069D8" w:rsidRPr="00574FD9" w:rsidRDefault="005069D8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Втрата провідної ролі Туреччини, Швеції та ліквідація Речі Посполитої.</w:t>
      </w:r>
    </w:p>
    <w:p w:rsidR="005069D8" w:rsidRDefault="005069D8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Втрата Україною свого самостійного значення в міжнародних відносинах під тиском російського або проросійського геополітичного оточення. Втрата Україною автономії, розгром Запорізької Січі, ліквідація козацького самоуправління. Намагання змінити напрямок еволюції Гетьманщини – її асиміляцію в рамках Російської імперії.</w:t>
      </w:r>
    </w:p>
    <w:p w:rsidR="00EC4093" w:rsidRDefault="00EC4093" w:rsidP="005069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C4093" w:rsidRPr="00574FD9" w:rsidRDefault="00EC4093" w:rsidP="005069D8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</w:p>
    <w:p w:rsidR="005069D8" w:rsidRPr="00EC4093" w:rsidRDefault="005069D8" w:rsidP="005069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Розділ 5.</w:t>
      </w:r>
      <w:r w:rsidRPr="00EC40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C409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Українські землі під владою Російської і Австрійської імперій в ХІХ на початку ХХ ст.</w:t>
      </w:r>
    </w:p>
    <w:p w:rsidR="005069D8" w:rsidRPr="00574FD9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Особливості розвитку соціально-економічних процесів в Україні у першій половині XIX ст. і піднесення визвольного та національного руху в цей період, яке стало на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слідком культурного відродження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зростання національн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ої свідомості.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Політична діяльність декабристських товариств, таємних політичних гуртків і Кирило-</w:t>
      </w:r>
      <w:proofErr w:type="spellStart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Мефодіївського</w:t>
      </w:r>
      <w:proofErr w:type="spellEnd"/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братства, які діяли у першій половині XIX ст. в Україні. Вплив їх діяльності на розвиток національної свідомості українського народу. Польський національний рух і Ук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раїна.</w:t>
      </w:r>
    </w:p>
    <w:p w:rsidR="005069D8" w:rsidRPr="00574FD9" w:rsidRDefault="005069D8" w:rsidP="005069D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>Проблема виникнення націй та національної свідомості. Процеси формування української на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ції та національне відродження.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Труднощі, пов’язані з протистоянням українського національного відродження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Народні рухи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 робітничий, селянський ), як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Австрійській імперії, так і в Російській: «Руська Трійця» та її діяльність, революція 1848 - 1849 рр. в 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Європі та Україні, революційний рух в західноукраїнських землях, народництво в українських землях Російської імперії, «Земля і воля» та «Народна воля», російські революціонери та українське питання. Спектр політичних партій, що діяли в Укра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їні в кінці XIX - на початку XX</w:t>
      </w:r>
      <w:r w:rsidRPr="00574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століть - від соціал-демократів до чорносотенців. Програмні постанови партій та їх практична діяльніст</w:t>
      </w:r>
      <w:r w:rsidR="00EC4093">
        <w:rPr>
          <w:rFonts w:ascii="Times New Roman" w:eastAsia="Times New Roman" w:hAnsi="Times New Roman"/>
          <w:sz w:val="28"/>
          <w:szCs w:val="28"/>
          <w:lang w:val="uk-UA" w:eastAsia="ru-RU"/>
        </w:rPr>
        <w:t>ь, зв’язки з народними масами.</w:t>
      </w:r>
      <w:bookmarkStart w:id="0" w:name="_GoBack"/>
      <w:bookmarkEnd w:id="0"/>
    </w:p>
    <w:p w:rsidR="005069D8" w:rsidRPr="00574FD9" w:rsidRDefault="005069D8" w:rsidP="005069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74FD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</w:p>
    <w:p w:rsidR="005069D8" w:rsidRPr="001A42C1" w:rsidRDefault="005069D8" w:rsidP="005069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A478DA" w:rsidRPr="005069D8" w:rsidRDefault="00A478DA">
      <w:pPr>
        <w:rPr>
          <w:lang w:val="uk-UA"/>
        </w:rPr>
      </w:pPr>
    </w:p>
    <w:sectPr w:rsidR="00A478DA" w:rsidRPr="0050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ED"/>
    <w:rsid w:val="005069D8"/>
    <w:rsid w:val="00574FD9"/>
    <w:rsid w:val="00A478DA"/>
    <w:rsid w:val="00A63EED"/>
    <w:rsid w:val="00E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80513-C6EB-4317-8E63-20432429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3</cp:revision>
  <dcterms:created xsi:type="dcterms:W3CDTF">2016-06-08T10:36:00Z</dcterms:created>
  <dcterms:modified xsi:type="dcterms:W3CDTF">2016-06-08T10:53:00Z</dcterms:modified>
</cp:coreProperties>
</file>